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dgm="http://schemas.openxmlformats.org/drawingml/2006/diagram">
  <w:body>
    <w:p w14:paraId="00000005">
      <w:pPr>
        <w:spacing w:after="0"/>
        <w:ind w:firstLine="709"/>
        <w:jc w:val="center"/>
        <w:rPr>
          <w:rFonts w:ascii="Times New Roman" w:cs="Times New Roman" w:hAnsi="Times New Roman"/>
          <w:b/>
          <w:sz w:val="28"/>
          <w:szCs w:val="28"/>
        </w:rPr>
      </w:pPr>
      <w:r>
        <w:rPr>
          <w:rFonts w:ascii="Times New Roman" w:cs="Times New Roman" w:hAnsi="Times New Roman"/>
          <w:b/>
          <w:sz w:val="28"/>
          <w:szCs w:val="28"/>
        </w:rPr>
        <w:t>Сессия «</w:t>
      </w:r>
      <w:r>
        <w:rPr>
          <w:rFonts w:ascii="Times New Roman" w:cs="Times New Roman" w:hAnsi="Times New Roman"/>
          <w:b/>
          <w:sz w:val="28"/>
          <w:szCs w:val="28"/>
        </w:rPr>
        <w:t>Стратегическое партнерство государств БРИКС в интересах международной стабильности, общей безопасности и сохранения цивилизационной идентичности</w:t>
      </w:r>
      <w:r>
        <w:rPr>
          <w:rFonts w:ascii="Times New Roman" w:cs="Times New Roman" w:hAnsi="Times New Roman"/>
          <w:b/>
          <w:sz w:val="28"/>
          <w:szCs w:val="28"/>
        </w:rPr>
        <w:t>»</w:t>
      </w:r>
    </w:p>
    <w:p w14:paraId="00000006">
      <w:pPr>
        <w:spacing w:after="0"/>
        <w:ind w:firstLine="709"/>
        <w:jc w:val="center"/>
        <w:rPr>
          <w:rFonts w:ascii="Times New Roman" w:cs="Times New Roman" w:hAnsi="Times New Roman"/>
          <w:i/>
          <w:sz w:val="26"/>
          <w:szCs w:val="26"/>
        </w:rPr>
      </w:pPr>
      <w:r>
        <w:rPr>
          <w:rFonts w:ascii="Times New Roman" w:cs="Times New Roman" w:hAnsi="Times New Roman"/>
          <w:i/>
          <w:sz w:val="26"/>
          <w:szCs w:val="26"/>
        </w:rPr>
        <w:t xml:space="preserve">(23 октября, Серый зал 1 корпуса Президентской академии, </w:t>
      </w:r>
      <w:r>
        <w:rPr>
          <w:rFonts w:ascii="Times New Roman" w:cs="Times New Roman" w:hAnsi="Times New Roman"/>
          <w:i/>
          <w:sz w:val="26"/>
          <w:szCs w:val="26"/>
        </w:rPr>
        <w:t>1</w:t>
      </w:r>
      <w:r>
        <w:rPr>
          <w:rFonts w:ascii="Times New Roman" w:cs="Times New Roman" w:hAnsi="Times New Roman"/>
          <w:i/>
          <w:sz w:val="26"/>
          <w:szCs w:val="26"/>
        </w:rPr>
        <w:t>6</w:t>
      </w:r>
      <w:r>
        <w:rPr>
          <w:rFonts w:ascii="Times New Roman" w:cs="Times New Roman" w:hAnsi="Times New Roman"/>
          <w:i/>
          <w:sz w:val="26"/>
          <w:szCs w:val="26"/>
        </w:rPr>
        <w:t>.</w:t>
      </w:r>
      <w:r>
        <w:rPr>
          <w:rFonts w:ascii="Times New Roman" w:cs="Times New Roman" w:hAnsi="Times New Roman"/>
          <w:i/>
          <w:sz w:val="26"/>
          <w:szCs w:val="26"/>
        </w:rPr>
        <w:t>1</w:t>
      </w:r>
      <w:r>
        <w:rPr>
          <w:rFonts w:ascii="Times New Roman" w:cs="Times New Roman" w:hAnsi="Times New Roman"/>
          <w:i/>
          <w:sz w:val="26"/>
          <w:szCs w:val="26"/>
        </w:rPr>
        <w:t>5</w:t>
      </w:r>
      <w:r>
        <w:rPr>
          <w:rFonts w:ascii="Times New Roman" w:cs="Times New Roman" w:hAnsi="Times New Roman"/>
          <w:i/>
          <w:sz w:val="26"/>
          <w:szCs w:val="26"/>
        </w:rPr>
        <w:t xml:space="preserve"> − 1</w:t>
      </w:r>
      <w:r>
        <w:rPr>
          <w:rFonts w:ascii="Times New Roman" w:cs="Times New Roman" w:hAnsi="Times New Roman"/>
          <w:i/>
          <w:sz w:val="26"/>
          <w:szCs w:val="26"/>
        </w:rPr>
        <w:t>7</w:t>
      </w:r>
      <w:r>
        <w:rPr>
          <w:rFonts w:ascii="Times New Roman" w:cs="Times New Roman" w:hAnsi="Times New Roman"/>
          <w:i/>
          <w:sz w:val="26"/>
          <w:szCs w:val="26"/>
        </w:rPr>
        <w:t>.</w:t>
      </w:r>
      <w:r>
        <w:rPr>
          <w:rFonts w:ascii="Times New Roman" w:cs="Times New Roman" w:hAnsi="Times New Roman"/>
          <w:i/>
          <w:sz w:val="26"/>
          <w:szCs w:val="26"/>
        </w:rPr>
        <w:t>45</w:t>
      </w:r>
      <w:r>
        <w:rPr>
          <w:rFonts w:ascii="Times New Roman" w:cs="Times New Roman" w:hAnsi="Times New Roman"/>
          <w:i/>
          <w:sz w:val="26"/>
          <w:szCs w:val="26"/>
        </w:rPr>
        <w:t>)</w:t>
      </w:r>
    </w:p>
    <w:p w14:paraId="00000007">
      <w:pPr>
        <w:spacing w:after="0"/>
        <w:ind w:firstLine="709"/>
        <w:jc w:val="center"/>
        <w:rPr>
          <w:rFonts w:ascii="Times New Roman" w:cs="Times New Roman" w:hAnsi="Times New Roman"/>
          <w:i/>
          <w:sz w:val="26"/>
          <w:szCs w:val="26"/>
        </w:rPr>
      </w:pPr>
    </w:p>
    <w:tbl>
      <w:tblPr>
        <w:tblStyle w:val="TableGrid"/>
        <w:tblW w:w="16018" w:type="dxa"/>
        <w:tblInd w:w="-714" w:type="dxa"/>
        <w:tblLook w:val="04A0"/>
      </w:tblPr>
      <w:tblGrid>
        <w:gridCol w:w="1146"/>
        <w:gridCol w:w="2678"/>
        <w:gridCol w:w="2903"/>
        <w:gridCol w:w="3433"/>
        <w:gridCol w:w="2972"/>
        <w:gridCol w:w="2886"/>
      </w:tblGrid>
      <w:tr>
        <w:trPr/>
        <w:tc>
          <w:tcPr>
            <w:cnfStyle w:val="101000000000"/>
            <w:tcW w:w="1146" w:type="dxa"/>
          </w:tcPr>
          <w:p w14:paraId="00000008">
            <w:pPr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sz w:val="28"/>
                <w:szCs w:val="28"/>
              </w:rPr>
              <w:t xml:space="preserve">№ </w:t>
            </w:r>
            <w:r>
              <w:rPr>
                <w:rFonts w:ascii="Times New Roman" w:cs="Times New Roman" w:hAnsi="Times New Roman"/>
                <w:b/>
                <w:sz w:val="28"/>
                <w:szCs w:val="28"/>
              </w:rPr>
              <w:t>п.п</w:t>
            </w:r>
            <w:r>
              <w:rPr>
                <w:rFonts w:ascii="Times New Roman" w:cs="Times New Roman" w:hAnsi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cnfStyle w:val="100000000000"/>
            <w:tcW w:w="2642" w:type="dxa"/>
          </w:tcPr>
          <w:p w14:paraId="00000009">
            <w:pPr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sz w:val="28"/>
                <w:szCs w:val="28"/>
              </w:rPr>
              <w:t xml:space="preserve">Страна </w:t>
            </w:r>
          </w:p>
        </w:tc>
        <w:tc>
          <w:tcPr>
            <w:cnfStyle w:val="100000000000"/>
            <w:tcW w:w="3076" w:type="dxa"/>
          </w:tcPr>
          <w:p w14:paraId="0000000A">
            <w:pPr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sz w:val="28"/>
                <w:szCs w:val="28"/>
              </w:rPr>
              <w:t xml:space="preserve">Организация </w:t>
            </w:r>
          </w:p>
        </w:tc>
        <w:tc>
          <w:tcPr>
            <w:cnfStyle w:val="100000000000"/>
            <w:tcW w:w="3639" w:type="dxa"/>
          </w:tcPr>
          <w:p w14:paraId="0000000B">
            <w:pPr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sz w:val="28"/>
                <w:szCs w:val="28"/>
              </w:rPr>
              <w:t>ФИО, должность</w:t>
            </w:r>
          </w:p>
        </w:tc>
        <w:tc>
          <w:tcPr>
            <w:cnfStyle w:val="100000000000"/>
            <w:tcW w:w="2457" w:type="dxa"/>
          </w:tcPr>
          <w:p w14:paraId="0000000C">
            <w:pPr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sz w:val="28"/>
                <w:szCs w:val="28"/>
              </w:rPr>
              <w:t>Тема доклада</w:t>
            </w:r>
          </w:p>
        </w:tc>
        <w:tc>
          <w:tcPr>
            <w:cnfStyle w:val="100000000000"/>
            <w:tcW w:w="3058" w:type="dxa"/>
          </w:tcPr>
          <w:p w14:paraId="0000000D">
            <w:pPr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sz w:val="28"/>
                <w:szCs w:val="28"/>
              </w:rPr>
              <w:t>Модератор:</w:t>
            </w:r>
          </w:p>
          <w:p w14:paraId="0000000E">
            <w:pPr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</w:p>
        </w:tc>
      </w:tr>
      <w:tr>
        <w:trPr/>
        <w:tc>
          <w:tcPr>
            <w:cnfStyle w:val="001000100000"/>
            <w:tcW w:w="1146" w:type="dxa"/>
          </w:tcPr>
          <w:p w14:paraId="0000000F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cnfStyle w:val="000000100000"/>
            <w:tcW w:w="2642" w:type="dxa"/>
            <w:vAlign w:val="center"/>
          </w:tcPr>
          <w:p w14:paraId="00000010">
            <w:pPr>
              <w:jc w:val="center"/>
              <w:rPr>
                <w:rStyle w:val="Strong"/>
                <w:rFonts w:ascii="Times New Roman" w:cs="Times New Roman" w:hAnsi="Times New Roman"/>
                <w:b w:val="off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Китайская Народная Республика</w:t>
            </w:r>
          </w:p>
        </w:tc>
        <w:tc>
          <w:tcPr>
            <w:cnfStyle w:val="000000100000"/>
            <w:tcW w:w="3076" w:type="dxa"/>
            <w:vAlign w:val="center"/>
          </w:tcPr>
          <w:p w14:paraId="00000011">
            <w:pPr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Партийная школа</w:t>
            </w:r>
          </w:p>
          <w:p w14:paraId="00000012">
            <w:pPr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Центрального комитета Коммунистической партии Китая (Национальная академия управления)</w:t>
            </w:r>
          </w:p>
        </w:tc>
        <w:tc>
          <w:tcPr>
            <w:cnfStyle w:val="000000100000"/>
            <w:tcW w:w="3639" w:type="dxa"/>
            <w:vAlign w:val="center"/>
          </w:tcPr>
          <w:p w14:paraId="00000013">
            <w:pPr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Г-н У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Чжичэн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, </w:t>
            </w:r>
          </w:p>
          <w:p w14:paraId="00000014">
            <w:pPr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Директор института международных стратегических исследований партийной школы Центрального комитета 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К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оммунистической партии Китая, Национальная академия управления</w:t>
            </w:r>
          </w:p>
        </w:tc>
        <w:tc>
          <w:tcPr>
            <w:cnfStyle w:val="000000100000"/>
            <w:tcW w:w="2457" w:type="dxa"/>
          </w:tcPr>
          <w:p w14:paraId="00000015">
            <w:pPr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Ценностные ориентиры стран БРИКС: от консенсуса к стратегической координации</w:t>
            </w:r>
          </w:p>
        </w:tc>
        <w:tc>
          <w:tcPr>
            <w:cnfStyle w:val="000000100000"/>
            <w:tcW w:w="3058" w:type="dxa"/>
            <w:vMerge w:val="restart"/>
          </w:tcPr>
          <w:p w14:paraId="00000016">
            <w:pPr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17">
            <w:pPr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  <w:p w14:paraId="00000018">
            <w:pPr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Е.С. Алисиевич, заведующий</w:t>
            </w:r>
          </w:p>
          <w:p w14:paraId="00000019">
            <w:pPr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кафедрой международного и</w:t>
            </w:r>
          </w:p>
          <w:p w14:paraId="0000001A">
            <w:pPr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интеграционного права,</w:t>
            </w:r>
          </w:p>
          <w:p w14:paraId="0000001B">
            <w:pPr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ИПНБ</w:t>
            </w:r>
          </w:p>
        </w:tc>
      </w:tr>
      <w:tr>
        <w:trPr/>
        <w:tc>
          <w:tcPr>
            <w:cnfStyle w:val="001000010000"/>
            <w:tcW w:w="1146" w:type="dxa"/>
          </w:tcPr>
          <w:p w14:paraId="0000001C">
            <w:pPr>
              <w:pStyle w:val="ListParagraph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.</w:t>
            </w:r>
          </w:p>
        </w:tc>
        <w:tc>
          <w:tcPr>
            <w:cnfStyle w:val="000000010000"/>
            <w:tcW w:w="2642" w:type="dxa"/>
            <w:vAlign w:val="center"/>
          </w:tcPr>
          <w:p w14:paraId="0000001D">
            <w:pPr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Style w:val="Strong"/>
                <w:rFonts w:ascii="Times New Roman" w:cs="Times New Roman" w:hAnsi="Times New Roman"/>
                <w:b w:val="off"/>
                <w:sz w:val="28"/>
                <w:szCs w:val="28"/>
                <w:shd w:val="clear" w:color="auto" w:fill="ffffff"/>
              </w:rPr>
              <w:t>Южно-Африканская Республика (ЮАР)</w:t>
            </w:r>
          </w:p>
        </w:tc>
        <w:tc>
          <w:tcPr>
            <w:cnfStyle w:val="000000010000"/>
            <w:tcW w:w="3076" w:type="dxa"/>
            <w:vAlign w:val="center"/>
          </w:tcPr>
          <w:p w14:paraId="0000001E">
            <w:pPr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Национальная школа правительства ЮАР</w:t>
            </w:r>
          </w:p>
        </w:tc>
        <w:tc>
          <w:tcPr>
            <w:cnfStyle w:val="000000010000"/>
            <w:tcW w:w="3639" w:type="dxa"/>
          </w:tcPr>
          <w:p w14:paraId="0000001F">
            <w:pPr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Г-н 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Бонгани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Маймели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, директор по международным связям и партнерству</w:t>
            </w:r>
          </w:p>
        </w:tc>
        <w:tc>
          <w:tcPr>
            <w:cnfStyle w:val="000000010000"/>
            <w:tcW w:w="2457" w:type="dxa"/>
          </w:tcPr>
          <w:p w14:paraId="00000020">
            <w:pPr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Деконструкция устойчивого развития: 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плюриверсальная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 перспектива</w:t>
            </w:r>
          </w:p>
        </w:tc>
        <w:tc>
          <w:tcPr>
            <w:cnfStyle w:val="000000010000"/>
            <w:tcW w:w="3058" w:type="dxa"/>
            <w:vMerge w:val="continue"/>
          </w:tcPr>
          <w:p w14:paraId="00000021">
            <w:pPr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</w:p>
        </w:tc>
      </w:tr>
      <w:tr>
        <w:trPr/>
        <w:tc>
          <w:tcPr>
            <w:cnfStyle w:val="001000100000"/>
            <w:tcW w:w="1146" w:type="dxa"/>
          </w:tcPr>
          <w:p w14:paraId="00000022">
            <w:pPr>
              <w:pStyle w:val="ListParagraph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.</w:t>
            </w:r>
          </w:p>
        </w:tc>
        <w:tc>
          <w:tcPr>
            <w:cnfStyle w:val="000000100000"/>
            <w:tcW w:w="2642" w:type="dxa"/>
            <w:vAlign w:val="center"/>
          </w:tcPr>
          <w:p w14:paraId="00000023">
            <w:pPr>
              <w:jc w:val="center"/>
              <w:rPr>
                <w:rStyle w:val="Strong"/>
                <w:rFonts w:ascii="Times New Roman" w:cs="Times New Roman" w:hAnsi="Times New Roman"/>
                <w:b w:val="off"/>
                <w:sz w:val="28"/>
                <w:szCs w:val="28"/>
                <w:shd w:val="clear" w:color="auto" w:fill="ffffff"/>
              </w:rPr>
            </w:pPr>
            <w:r>
              <w:rPr>
                <w:rStyle w:val="Strong"/>
                <w:rFonts w:ascii="Times New Roman" w:cs="Times New Roman" w:hAnsi="Times New Roman"/>
                <w:b w:val="off"/>
                <w:sz w:val="28"/>
                <w:szCs w:val="28"/>
                <w:shd w:val="clear" w:color="auto" w:fill="ffffff"/>
              </w:rPr>
              <w:t>Российская Федерация</w:t>
            </w:r>
          </w:p>
        </w:tc>
        <w:tc>
          <w:tcPr>
            <w:cnfStyle w:val="000000100000"/>
            <w:tcW w:w="3076" w:type="dxa"/>
            <w:vAlign w:val="center"/>
          </w:tcPr>
          <w:p w14:paraId="00000024">
            <w:pPr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Центральная избирательная комиссия</w:t>
            </w:r>
            <w:r>
              <w:rPr>
                <w:rFonts w:ascii="Times New Roman" w:cs="Times New Roman" w:hAnsi="Times New Roman"/>
                <w:b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Style w:val="Strong"/>
                <w:rFonts w:ascii="Times New Roman" w:cs="Times New Roman" w:hAnsi="Times New Roman"/>
                <w:b w:val="off"/>
                <w:sz w:val="28"/>
                <w:szCs w:val="28"/>
                <w:shd w:val="clear" w:color="auto" w:fill="ffffff"/>
              </w:rPr>
              <w:t>Российской Федерации</w:t>
            </w:r>
          </w:p>
        </w:tc>
        <w:tc>
          <w:tcPr>
            <w:cnfStyle w:val="000000100000"/>
            <w:tcW w:w="3639" w:type="dxa"/>
          </w:tcPr>
          <w:p w14:paraId="00000025">
            <w:pPr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Борисов Игорь Борисович, член Центральной избирательной Комиссии, Председатель Совета Российского общественного</w:t>
            </w:r>
          </w:p>
          <w:p w14:paraId="00000026">
            <w:pPr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Института избирательного права</w:t>
            </w:r>
          </w:p>
          <w:p w14:paraId="00000027">
            <w:pPr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cnfStyle w:val="000000100000"/>
            <w:tcW w:w="2457" w:type="dxa"/>
          </w:tcPr>
          <w:p w14:paraId="00000028">
            <w:pPr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Обеспечение и защита электорального суверенитета </w:t>
            </w:r>
          </w:p>
          <w:p w14:paraId="00000029">
            <w:pPr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как составляющие устойчивого развития государства</w:t>
            </w:r>
          </w:p>
        </w:tc>
        <w:tc>
          <w:tcPr>
            <w:cnfStyle w:val="000000100000"/>
            <w:tcW w:w="3058" w:type="dxa"/>
            <w:vMerge w:val="continue"/>
          </w:tcPr>
          <w:p w14:paraId="0000002A">
            <w:pPr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>
        <w:trPr/>
        <w:tc>
          <w:tcPr>
            <w:cnfStyle w:val="001000010000"/>
            <w:tcW w:w="1146" w:type="dxa"/>
          </w:tcPr>
          <w:p w14:paraId="0000002B">
            <w:pPr>
              <w:pStyle w:val="ListParagraph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4.</w:t>
            </w:r>
          </w:p>
        </w:tc>
        <w:tc>
          <w:tcPr>
            <w:cnfStyle w:val="000000010000"/>
            <w:tcW w:w="2642" w:type="dxa"/>
            <w:vAlign w:val="center"/>
          </w:tcPr>
          <w:p w14:paraId="0000002C">
            <w:pPr>
              <w:jc w:val="center"/>
              <w:rPr>
                <w:rStyle w:val="Strong"/>
                <w:rFonts w:ascii="Times New Roman" w:cs="Times New Roman" w:hAnsi="Times New Roman"/>
                <w:b w:val="off"/>
                <w:sz w:val="28"/>
                <w:szCs w:val="28"/>
                <w:shd w:val="clear" w:color="auto" w:fill="ffffff"/>
              </w:rPr>
            </w:pPr>
            <w:r>
              <w:rPr>
                <w:rStyle w:val="Strong"/>
                <w:rFonts w:ascii="Times New Roman" w:cs="Times New Roman" w:hAnsi="Times New Roman"/>
                <w:b w:val="off"/>
                <w:sz w:val="28"/>
                <w:szCs w:val="28"/>
                <w:shd w:val="clear" w:color="auto" w:fill="ffffff"/>
              </w:rPr>
              <w:t>Российская Федерация</w:t>
            </w:r>
          </w:p>
        </w:tc>
        <w:tc>
          <w:tcPr>
            <w:cnfStyle w:val="000000010000"/>
            <w:tcW w:w="3076" w:type="dxa"/>
            <w:vAlign w:val="center"/>
          </w:tcPr>
          <w:p w14:paraId="0000002D">
            <w:pPr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ПАО «Газпромнефть»</w:t>
            </w:r>
          </w:p>
        </w:tc>
        <w:tc>
          <w:tcPr>
            <w:cnfStyle w:val="000000010000"/>
            <w:tcW w:w="3639" w:type="dxa"/>
          </w:tcPr>
          <w:p w14:paraId="0000002E">
            <w:pPr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Долгов Николай Юрьевич, директор платформы Профессионалы 4:0 ПАО «Газпромнефть»</w:t>
            </w:r>
          </w:p>
        </w:tc>
        <w:tc>
          <w:tcPr>
            <w:cnfStyle w:val="000000010000"/>
            <w:tcW w:w="2457" w:type="dxa"/>
          </w:tcPr>
          <w:p w14:paraId="0000002F">
            <w:pPr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Международная платформа занятости для стран БРИКС</w:t>
            </w:r>
          </w:p>
        </w:tc>
        <w:tc>
          <w:tcPr>
            <w:cnfStyle w:val="000000010000"/>
            <w:tcW w:w="3058" w:type="dxa"/>
            <w:vMerge w:val="continue"/>
          </w:tcPr>
          <w:p w14:paraId="00000030">
            <w:pPr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>
        <w:trPr/>
        <w:tc>
          <w:tcPr>
            <w:cnfStyle w:val="001000100000"/>
            <w:tcW w:w="1146" w:type="dxa"/>
          </w:tcPr>
          <w:p w14:paraId="00000031">
            <w:pPr>
              <w:pStyle w:val="ListParagraph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.</w:t>
            </w:r>
          </w:p>
        </w:tc>
        <w:tc>
          <w:tcPr>
            <w:cnfStyle w:val="000000100000"/>
            <w:tcW w:w="2642" w:type="dxa"/>
            <w:vAlign w:val="center"/>
          </w:tcPr>
          <w:p w14:paraId="00000032">
            <w:pPr>
              <w:jc w:val="center"/>
              <w:rPr>
                <w:rStyle w:val="Strong"/>
                <w:rFonts w:ascii="Times New Roman" w:cs="Times New Roman" w:hAnsi="Times New Roman"/>
                <w:b w:val="off"/>
                <w:sz w:val="28"/>
                <w:szCs w:val="28"/>
                <w:shd w:val="clear" w:color="auto" w:fill="ffffff"/>
              </w:rPr>
            </w:pPr>
            <w:r>
              <w:rPr>
                <w:rStyle w:val="Strong"/>
                <w:rFonts w:ascii="Times New Roman" w:cs="Times New Roman" w:hAnsi="Times New Roman"/>
                <w:b w:val="off"/>
                <w:sz w:val="28"/>
                <w:szCs w:val="28"/>
                <w:shd w:val="clear" w:color="auto" w:fill="ffffff"/>
              </w:rPr>
              <w:t>Социалистическая Республика Вьетнам</w:t>
            </w:r>
          </w:p>
        </w:tc>
        <w:tc>
          <w:tcPr>
            <w:cnfStyle w:val="000000100000"/>
            <w:tcW w:w="3076" w:type="dxa"/>
            <w:vAlign w:val="center"/>
          </w:tcPr>
          <w:p w14:paraId="00000033">
            <w:pPr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Вьетнамская академия общественных наук</w:t>
            </w:r>
          </w:p>
        </w:tc>
        <w:tc>
          <w:tcPr>
            <w:cnfStyle w:val="000000100000"/>
            <w:tcW w:w="3639" w:type="dxa"/>
          </w:tcPr>
          <w:p w14:paraId="00000034">
            <w:pPr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Нгуен 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Чиен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Тханг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, директор Института европейских и американских исследований</w:t>
            </w:r>
          </w:p>
        </w:tc>
        <w:tc>
          <w:tcPr>
            <w:cnfStyle w:val="000000100000"/>
            <w:tcW w:w="2457" w:type="dxa"/>
          </w:tcPr>
          <w:p w14:paraId="00000035">
            <w:pPr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Роль БРИКС в обеспечении международной безопасности и стабильности, перспективы партнерских отношений Вьетнама со странами БРИКС</w:t>
            </w:r>
          </w:p>
        </w:tc>
        <w:tc>
          <w:tcPr>
            <w:cnfStyle w:val="000000100000"/>
            <w:tcW w:w="3058" w:type="dxa"/>
            <w:vMerge w:val="continue"/>
          </w:tcPr>
          <w:p w14:paraId="00000036">
            <w:pPr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>
        <w:trPr/>
        <w:tc>
          <w:tcPr>
            <w:cnfStyle w:val="001000010000"/>
            <w:tcW w:w="1146" w:type="dxa"/>
          </w:tcPr>
          <w:p w14:paraId="00000037">
            <w:pPr>
              <w:ind w:left="36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6</w:t>
            </w:r>
            <w:bookmarkStart w:id="0" w:name="_GoBack"/>
            <w:bookmarkEnd w:id="0"/>
            <w:r>
              <w:rPr>
                <w:rFonts w:ascii="Times New Roman" w:cs="Times New Roman" w:hAnsi="Times New Roman"/>
                <w:sz w:val="28"/>
                <w:szCs w:val="28"/>
              </w:rPr>
              <w:t>.</w:t>
            </w:r>
          </w:p>
        </w:tc>
        <w:tc>
          <w:tcPr>
            <w:cnfStyle w:val="000000010000"/>
            <w:tcW w:w="2642" w:type="dxa"/>
          </w:tcPr>
          <w:p w14:paraId="00000038">
            <w:pPr>
              <w:shd w:val="clear" w:color="auto" w:fill="ffffff"/>
              <w:rPr>
                <w:rStyle w:val="Strong"/>
                <w:rFonts w:ascii="Times New Roman" w:cs="Times New Roman" w:hAnsi="Times New Roman"/>
                <w:b w:val="off"/>
                <w:sz w:val="28"/>
                <w:szCs w:val="28"/>
                <w:shd w:val="clear" w:color="auto" w:fill="ffffff"/>
              </w:rPr>
            </w:pPr>
            <w:r>
              <w:rPr>
                <w:rStyle w:val="Strong"/>
                <w:rFonts w:ascii="Times New Roman" w:cs="Times New Roman" w:hAnsi="Times New Roman"/>
                <w:b w:val="off"/>
                <w:sz w:val="28"/>
                <w:szCs w:val="28"/>
                <w:shd w:val="clear" w:color="auto" w:fill="ffffff"/>
              </w:rPr>
              <w:t>Республика Иран</w:t>
            </w:r>
          </w:p>
        </w:tc>
        <w:tc>
          <w:tcPr>
            <w:cnfStyle w:val="000000010000"/>
            <w:tcW w:w="3076" w:type="dxa"/>
          </w:tcPr>
          <w:p w14:paraId="00000039">
            <w:pPr>
              <w:shd w:val="clear" w:color="auto" w:fill="ffffff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eastAsia="Times New Roman" w:hAnsi="Times New Roman"/>
                <w:sz w:val="28"/>
                <w:szCs w:val="28"/>
                <w:lang w:eastAsia="ru-RU"/>
              </w:rPr>
              <w:t>Министерств</w:t>
            </w:r>
            <w:r>
              <w:rPr>
                <w:rFonts w:ascii="Times New Roman" w:cs="Times New Roman" w:eastAsia="Times New Roman" w:hAnsi="Times New Roman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cs="Times New Roman" w:eastAsia="Times New Roman" w:hAnsi="Times New Roman"/>
                <w:sz w:val="28"/>
                <w:szCs w:val="28"/>
                <w:lang w:eastAsia="ru-RU"/>
              </w:rPr>
              <w:t xml:space="preserve"> иностранных дел Исламской Республики Иран</w:t>
            </w:r>
          </w:p>
        </w:tc>
        <w:tc>
          <w:tcPr>
            <w:cnfStyle w:val="000000010000"/>
            <w:tcW w:w="3639" w:type="dxa"/>
          </w:tcPr>
          <w:p w14:paraId="0000003A">
            <w:pPr>
              <w:shd w:val="clear" w:color="auto" w:fill="ffffff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sz w:val="28"/>
                <w:szCs w:val="28"/>
                <w:lang w:eastAsia="ru-RU"/>
              </w:rPr>
              <w:t>Пургасса́б</w:t>
            </w:r>
            <w:r>
              <w:rPr>
                <w:rFonts w:ascii="Times New Roman" w:cs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sz w:val="28"/>
                <w:szCs w:val="28"/>
                <w:lang w:eastAsia="ru-RU"/>
              </w:rPr>
              <w:t>Амири</w:t>
            </w:r>
            <w:r>
              <w:rPr>
                <w:rFonts w:ascii="Times New Roman" w:cs="Times New Roman" w:eastAsia="Times New Roman" w:hAnsi="Times New Roman"/>
                <w:sz w:val="28"/>
                <w:szCs w:val="28"/>
                <w:lang w:eastAsia="ru-RU"/>
              </w:rPr>
              <w:t>́</w:t>
            </w:r>
            <w:r>
              <w:rPr>
                <w:rFonts w:ascii="Times New Roman" w:cs="Times New Roman" w:eastAsia="Times New Roman" w:hAnsi="Times New Roman"/>
                <w:sz w:val="28"/>
                <w:szCs w:val="28"/>
                <w:lang w:eastAsia="ru-RU"/>
              </w:rPr>
              <w:t xml:space="preserve">, Директор </w:t>
            </w:r>
            <w:r>
              <w:rPr>
                <w:rFonts w:ascii="Times New Roman" w:cs="Times New Roman" w:eastAsia="Times New Roman" w:hAnsi="Times New Roman"/>
                <w:sz w:val="28"/>
                <w:szCs w:val="28"/>
                <w:lang w:eastAsia="ru-RU"/>
              </w:rPr>
              <w:t>Управления по правам человека Министерства иностранных дел Исламской Республики Иран,</w:t>
            </w:r>
          </w:p>
          <w:p w14:paraId="0000003B">
            <w:pPr>
              <w:shd w:val="clear" w:color="auto" w:fill="ffffff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sz w:val="28"/>
                <w:szCs w:val="28"/>
                <w:lang w:eastAsia="ru-RU"/>
              </w:rPr>
              <w:t>Директор иранского Центра Движения неприсоединения по правам человека и культурному разнообразию.</w:t>
            </w:r>
          </w:p>
          <w:p w14:paraId="0000003C">
            <w:pPr>
              <w:shd w:val="clear" w:color="auto" w:fill="ffffff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cnfStyle w:val="000000010000"/>
            <w:tcW w:w="2457" w:type="dxa"/>
          </w:tcPr>
          <w:p w14:paraId="0000003D">
            <w:pPr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О роли прав человека в продвижении концепции цивилизационного многообразия и уважении традиционных духовно-нравственных ценностей</w:t>
            </w:r>
          </w:p>
        </w:tc>
        <w:tc>
          <w:tcPr>
            <w:cnfStyle w:val="000000010000"/>
            <w:tcW w:w="3058" w:type="dxa"/>
            <w:vMerge w:val="continue"/>
          </w:tcPr>
          <w:p w14:paraId="0000003E">
            <w:pPr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</w:p>
        </w:tc>
      </w:tr>
    </w:tbl>
    <w:p w14:paraId="0000003F">
      <w:pPr>
        <w:spacing w:after="0"/>
        <w:rPr>
          <w:rFonts w:ascii="Times New Roman" w:cs="Times New Roman" w:hAnsi="Times New Roman"/>
          <w:b/>
          <w:sz w:val="28"/>
          <w:szCs w:val="28"/>
        </w:rPr>
      </w:pPr>
    </w:p>
    <w:sectPr>
      <w:footerReference w:type="default" r:id="rId11"/>
      <w:pgSz w:w="16838" w:h="11906" w:orient="landscape"/>
      <w:pgMar w:top="709" w:right="1134" w:bottom="850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dgm="http://schemas.openxmlformats.org/drawingml/2006/diagram">
  <w:endnote w:type="separator" w:id="0">
    <w:p w14:paraId="00000003">
      <w:pPr>
        <w:spacing w:after="0" w:line="240" w:lineRule="auto"/>
        <w:rPr/>
      </w:pPr>
      <w:r>
        <w:rPr/>
        <w:separator/>
      </w:r>
    </w:p>
  </w:endnote>
  <w:endnote w:type="continuationSeparator" w:id="1">
    <w:p w14:paraId="00000004">
      <w:pPr>
        <w:spacing w:after="0" w:line="240" w:lineRule="auto"/>
        <w:rPr/>
      </w:pPr>
      <w:r>
        <w:rPr/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00000000" w:usb1="00000000" w:usb2="00000009" w:usb3="00000000" w:csb0="000001ff" w:csb1="00000000"/>
  </w:font>
  <w:font w:name="Times New Roman">
    <w:panose1 w:val="02020603050405020304"/>
    <w:charset w:val="cc"/>
    <w:family w:val="roman"/>
    <w:pitch w:val="variable"/>
    <w:sig w:usb0="00000000" w:usb1="00000000" w:usb2="00000009" w:usb3="00000000" w:csb0="000001ff" w:csb1="00000000"/>
  </w:font>
  <w:font w:name="Calibri Light">
    <w:panose1 w:val="020f0302020204030204"/>
    <w:charset w:val="cc"/>
    <w:family w:val="swiss"/>
    <w:pitch w:val="variable"/>
    <w:sig w:usb0="00000000" w:usb1="00000000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dgm="http://schemas.openxmlformats.org/drawingml/2006/diagram">
  <w:p w14:paraId="00000040">
    <w:pPr>
      <w:pStyle w:val="Footer"/>
      <w:jc w:val="right"/>
      <w:rPr/>
    </w:pPr>
    <w:r>
      <w:fldChar w:fldCharType="begin"/>
    </w:r>
    <w:r>
      <w:instrText xml:space="preserve">PAGE   \* MERGEFORMAT</w:instrText>
    </w:r>
    <w:r>
      <w:fldChar w:fldCharType="separate"/>
    </w:r>
    <w:r>
      <w:t>2</w:t>
    </w:r>
    <w:r>
      <w:fldChar w:fldCharType="end"/>
    </w:r>
  </w:p>
  <w:p w14:paraId="00000041">
    <w:pPr>
      <w:pStyle w:val="Footer"/>
      <w:rPr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dgm="http://schemas.openxmlformats.org/drawingml/2006/diagram">
  <w:footnote w:type="separator" w:id="0">
    <w:p w14:paraId="00000001">
      <w:pPr>
        <w:spacing w:after="0" w:line="240" w:lineRule="auto"/>
        <w:rPr/>
      </w:pPr>
      <w:r>
        <w:rPr/>
        <w:separator/>
      </w:r>
    </w:p>
  </w:footnote>
  <w:footnote w:type="continuationSeparator" w:id="1">
    <w:p w14:paraId="00000002">
      <w:pPr>
        <w:spacing w:after="0" w:line="240" w:lineRule="auto"/>
        <w:rPr/>
      </w:pPr>
      <w:r>
        <w:rPr/>
        <w:continuation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>
    <w:multiLevelType w:val="hybridMultilevel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multiLevelType w:val="multilevel"/>
    <w:lvl w:ilvl="0" w:tentative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18B"/>
    <w:rsid w:val="0002507B"/>
    <w:rsid w:val="00062CA2"/>
    <w:rsid w:val="000749D3"/>
    <w:rsid w:val="000E04A2"/>
    <w:rsid w:val="001C1F21"/>
    <w:rsid w:val="0020718B"/>
    <w:rsid w:val="00223E16"/>
    <w:rsid w:val="002C3862"/>
    <w:rsid w:val="003B3DC4"/>
    <w:rsid w:val="00463123"/>
    <w:rsid w:val="00494EE1"/>
    <w:rsid w:val="004C729F"/>
    <w:rsid w:val="00535CC7"/>
    <w:rsid w:val="00594BEC"/>
    <w:rsid w:val="0063063A"/>
    <w:rsid w:val="006E2538"/>
    <w:rsid w:val="0071678E"/>
    <w:rsid w:val="00777EDB"/>
    <w:rsid w:val="008D7A4B"/>
    <w:rsid w:val="0096190E"/>
    <w:rsid w:val="009A366B"/>
    <w:rsid w:val="009C4374"/>
    <w:rsid w:val="00A06D7C"/>
    <w:rsid w:val="00A41014"/>
    <w:rsid w:val="00A467C2"/>
    <w:rsid w:val="00A60836"/>
    <w:rsid w:val="00C1478C"/>
    <w:rsid w:val="00CE1286"/>
    <w:rsid w:val="00D22110"/>
    <w:rsid w:val="00D36DFB"/>
    <w:rsid w:val="00DB7EC7"/>
    <w:rsid w:val="00E23ABB"/>
    <w:rsid w:val="00F40B32"/>
    <w:rsid w:val="00F5276B"/>
    <w:rsid w:val="00F72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0FED3"/>
  <w15:chartTrackingRefBased/>
  <w15:docId w15:val="{05027EB0-08FE-455F-A3B0-F464A613E890}"/>
  <w:footnotePr>
    <w:footnote w:id="0"/>
    <w:footnote w:id="1"/>
  </w:footnotePr>
  <w:endnotePr>
    <w:endnote w:id="0"/>
    <w:endnote w:id="1"/>
  </w:endnotePr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HAnsi" w:hAnsiTheme="minorHAnsi"/>
        <w:sz w:val="22"/>
        <w:szCs w:val="22"/>
        <w:lang w:val="ru-RU" w:bidi="ar-SA" w:eastAsia="en-US"/>
      </w:rPr>
    </w:rPrDefault>
    <w:pPrDefault>
      <w:pPr>
        <w:spacing w:after="160" w:line="259" w:lineRule="auto"/>
      </w:pPr>
    </w:pPrDefault>
  </w:docDefaults>
  <w:style w:type="paragraph" w:styleId="Heading1">
    <w:name w:val="Heading 1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uiPriority w:val="20"/>
    <w:qFormat w:val="on"/>
    <w:rPr>
      <w:i/>
      <w:iCs/>
    </w:rPr>
  </w:style>
  <w:style w:type="character" w:styleId="IntenseEmphasis">
    <w:name w:val="Intense Emphasis"/>
    <w:uiPriority w:val="21"/>
    <w:qFormat w:val="on"/>
    <w:rPr>
      <w:b/>
      <w:bCs/>
      <w:i/>
      <w:iCs/>
      <w:color w:val="4472c4" w:themeColor="accent1"/>
    </w:rPr>
  </w:style>
  <w:style w:type="paragraph" w:styleId="Quote">
    <w:name w:val="Quote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uiPriority w:val="33"/>
    <w:qFormat w:val="on"/>
    <w:rPr>
      <w:b/>
      <w:bCs/>
      <w:smallCaps/>
      <w:spacing w:val="5"/>
    </w:rPr>
  </w:style>
  <w:style w:type="paragraph" w:styleId="Footnotetext">
    <w:name w:val="Footnote text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uiPriority w:val="99"/>
    <w:semiHidden w:val="on"/>
    <w:unhideWhenUsed w:val="on"/>
    <w:rPr>
      <w:vertAlign w:val="superscript"/>
    </w:rPr>
  </w:style>
  <w:style w:type="paragraph" w:styleId="Endnotetext">
    <w:name w:val="Endnote text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uiPriority w:val="99"/>
    <w:semiHidden w:val="on"/>
    <w:unhideWhenUsed w:val="on"/>
    <w:rPr>
      <w:vertAlign w:val="superscript"/>
    </w:rPr>
  </w:style>
  <w:style w:type="character" w:styleId="Hyperlink">
    <w:name w:val="Hyperlink"/>
    <w:uiPriority w:val="99"/>
    <w:unhideWhenUsed w:val="on"/>
    <w:rPr>
      <w:color w:val="0563c1" w:themeColor="hyperlink"/>
      <w:u w:val="single"/>
    </w:rPr>
  </w:style>
  <w:style w:type="character" w:styleId="FollowedHyperlink">
    <w:name w:val="FollowedHyperlink"/>
    <w:uiPriority w:val="99"/>
    <w:semiHidden w:val="on"/>
    <w:unhideWhenUsed w:val="on"/>
    <w:rPr>
      <w:color w:val="954f72" w:themeColor="followedHyperlink"/>
      <w:u w:val="single"/>
    </w:rPr>
  </w:style>
  <w:style w:type="paragraph" w:styleId="PlainText">
    <w:name w:val="Plain Text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link w:val="PlainText"/>
    <w:uiPriority w:val="99"/>
    <w:rPr>
      <w:rFonts w:ascii="Courier New" w:cs="Courier New" w:hAnsi="Courier New"/>
      <w:sz w:val="21"/>
      <w:szCs w:val="21"/>
    </w:rPr>
  </w:style>
  <w:style w:type="character" w:customStyle="1" w:styleId="HeaderChar">
    <w:name w:val="Header Char"/>
    <w:uiPriority w:val="99"/>
  </w:style>
  <w:style w:type="character" w:customStyle="1" w:styleId="FooterChar">
    <w:name w:val="Footer Char"/>
    <w:uiPriority w:val="99"/>
  </w:style>
  <w:style w:type="paragraph" w:styleId="Caption">
    <w:name w:val="Caption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default="1" w:styleId="Normal">
    <w:name w:val="Normal"/>
    <w:uiPriority w:val="99"/>
    <w:qFormat w:val="on"/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table" w:styleId="TableGrid">
    <w:name w:val="Table Grid"/>
    <w:basedOn w:val="NormalTable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PlaceholderText">
    <w:name w:val="Placeholder Text"/>
    <w:basedOn w:val="DefaultParagraphFont"/>
    <w:uiPriority w:val="99"/>
    <w:semiHidden w:val="on"/>
    <w:rPr>
      <w:color w:val="808080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Header">
    <w:name w:val="Header"/>
    <w:basedOn w:val="Normal"/>
    <w:link w:val="ВерхнийколонтитулЗнак"/>
    <w:uiPriority w:val="99"/>
    <w:unhideWhenUsed w:val="on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ВерхнийколонтитулЗнак">
    <w:name w:val="Верхний колонтитул Знак"/>
    <w:basedOn w:val="DefaultParagraphFont"/>
    <w:link w:val="Header"/>
    <w:uiPriority w:val="99"/>
  </w:style>
  <w:style w:type="paragraph" w:styleId="Footer">
    <w:name w:val="Footer"/>
    <w:basedOn w:val="Normal"/>
    <w:link w:val="НижнийколонтитулЗнак"/>
    <w:uiPriority w:val="99"/>
    <w:unhideWhenUsed w:val="on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НижнийколонтитулЗнак">
    <w:name w:val="Нижний колонтитул Знак"/>
    <w:basedOn w:val="DefaultParagraphFont"/>
    <w:link w:val="Footer"/>
    <w:uiPriority w:val="99"/>
  </w:style>
  <w:style w:type="paragraph" w:customStyle="1" w:styleId="Ds-markdown-paragraph">
    <w:name w:val="Ds-markdown-paragraph"/>
    <w:basedOn w:val="Normal"/>
    <w:uiPriority w:val="99"/>
    <w:pPr>
      <w:spacing w:before="100" w:after="100"/>
    </w:pPr>
    <w:rPr>
      <w:rFonts w:ascii="Times New Roman" w:cs="Times New Roman" w:eastAsia="Times New Roman" w:hAnsi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76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12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9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09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numbering" Target="numbering.xml"/><Relationship Id="rId11" Type="http://schemas.openxmlformats.org/officeDocument/2006/relationships/footer" Target="footer1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4" Type="http://schemas.openxmlformats.org/officeDocument/2006/relationships/webSettings" Target="webSettings.xml"/></Relationships>
</file>

<file path=word/_rels/endnotes.xml.rels><?xml version="1.0" encoding="UTF-8" standalone="yes"?>
<Relationships xmlns="http://schemas.openxmlformats.org/package/2006/relationships"></Relationships>
</file>

<file path=word/_rels/footer1.xml.rels><?xml version="1.0" encoding="UTF-8" standalone="yes"?>
<Relationships xmlns="http://schemas.openxmlformats.org/package/2006/relationships"></Relationships>
</file>

<file path=word/_rels/footnotes.xml.rels><?xml version="1.0" encoding="UTF-8" standalone="yes"?>
<Relationships xmlns="http://schemas.openxmlformats.org/package/2006/relationships"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明朝"/>
        <a:font script="Olck" typeface="Nirmala UI"/>
        <a:font script="Lisu" typeface="Segoe UI"/>
        <a:font script="Sora" typeface="Nirmala UI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RANEPA</Company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Атаева Анжелика Олеговна</dc:creator>
  <cp:lastModifiedBy>Author</cp:lastModifiedBy>
</cp:coreProperties>
</file>